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84" w:rsidRPr="00EB4384" w:rsidRDefault="00EB4384" w:rsidP="00EB4384">
      <w:pPr>
        <w:pageBreakBefore/>
        <w:rPr>
          <w:rFonts w:ascii="Arial Narrow" w:hAnsi="Arial Narrow" w:cs="Arial Narrow"/>
          <w:b/>
          <w:bCs/>
          <w:lang w:val="de-DE"/>
        </w:rPr>
      </w:pPr>
      <w:r>
        <w:rPr>
          <w:rFonts w:ascii="Arial Narrow" w:hAnsi="Arial Narrow" w:cs="Arial Narrow"/>
          <w:b/>
          <w:bCs/>
          <w:noProof/>
        </w:rPr>
        <w:drawing>
          <wp:inline distT="0" distB="0" distL="0" distR="0">
            <wp:extent cx="228600" cy="333375"/>
            <wp:effectExtent l="0" t="0" r="0" b="9525"/>
            <wp:docPr id="2" name="Slika 2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84">
        <w:rPr>
          <w:rFonts w:ascii="Arial Narrow" w:hAnsi="Arial Narrow" w:cs="Arial Narrow"/>
          <w:b/>
          <w:bCs/>
          <w:lang w:val="de-DE"/>
        </w:rPr>
        <w:t>REPUBLIKA HRVATSKA</w:t>
      </w:r>
    </w:p>
    <w:p w:rsidR="00EB4384" w:rsidRPr="00EB4384" w:rsidRDefault="00EB4384" w:rsidP="00EB4384">
      <w:pPr>
        <w:rPr>
          <w:rFonts w:ascii="Arial Narrow" w:hAnsi="Arial Narrow" w:cs="Arial Narrow"/>
          <w:b/>
          <w:bCs/>
          <w:lang w:val="de-DE"/>
        </w:rPr>
      </w:pPr>
      <w:r w:rsidRPr="00EB4384">
        <w:rPr>
          <w:rFonts w:ascii="Arial Narrow" w:hAnsi="Arial Narrow" w:cs="Arial Narrow"/>
          <w:b/>
          <w:bCs/>
          <w:lang w:val="de-DE"/>
        </w:rPr>
        <w:t>LIČKO SENJSKA ŽUPANIJA</w:t>
      </w:r>
      <w:r w:rsidRPr="00EB4384">
        <w:rPr>
          <w:rFonts w:ascii="Arial Narrow" w:hAnsi="Arial Narrow" w:cs="Arial Narrow"/>
          <w:b/>
          <w:bCs/>
          <w:lang w:val="de-DE"/>
        </w:rPr>
        <w:tab/>
      </w:r>
    </w:p>
    <w:p w:rsidR="00EB4384" w:rsidRPr="00EB4384" w:rsidRDefault="00EB4384" w:rsidP="00EB4384">
      <w:pPr>
        <w:rPr>
          <w:rFonts w:ascii="Arial Narrow" w:hAnsi="Arial Narrow" w:cs="Arial Narrow"/>
          <w:b/>
          <w:bCs/>
          <w:lang w:val="de-DE"/>
        </w:rPr>
      </w:pPr>
      <w:r>
        <w:rPr>
          <w:rFonts w:ascii="Arial Narrow" w:hAnsi="Arial Narrow" w:cs="Arial Narrow"/>
          <w:b/>
          <w:bCs/>
          <w:noProof/>
        </w:rPr>
        <w:drawing>
          <wp:inline distT="0" distB="0" distL="0" distR="0" wp14:anchorId="05E4D3B3" wp14:editId="369A3346">
            <wp:extent cx="219075" cy="304800"/>
            <wp:effectExtent l="0" t="0" r="9525" b="0"/>
            <wp:docPr id="1" name="Slika 1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384">
        <w:rPr>
          <w:rFonts w:ascii="Arial Narrow" w:hAnsi="Arial Narrow" w:cs="Arial Narrow"/>
          <w:b/>
          <w:bCs/>
          <w:lang w:val="de-DE"/>
        </w:rPr>
        <w:t>GRAD OTOČAC</w:t>
      </w:r>
      <w:r>
        <w:rPr>
          <w:rFonts w:ascii="Arial Narrow" w:hAnsi="Arial Narrow" w:cs="Arial Narrow"/>
          <w:b/>
          <w:bCs/>
          <w:lang w:val="de-DE"/>
        </w:rPr>
        <w:tab/>
      </w:r>
      <w:r>
        <w:rPr>
          <w:rFonts w:ascii="Arial Narrow" w:hAnsi="Arial Narrow" w:cs="Arial Narrow"/>
          <w:b/>
          <w:bCs/>
          <w:lang w:val="de-DE"/>
        </w:rPr>
        <w:tab/>
      </w:r>
      <w:r>
        <w:rPr>
          <w:rFonts w:ascii="Arial Narrow" w:hAnsi="Arial Narrow" w:cs="Arial Narrow"/>
          <w:b/>
          <w:bCs/>
          <w:lang w:val="de-DE"/>
        </w:rPr>
        <w:tab/>
      </w:r>
      <w:r>
        <w:rPr>
          <w:rFonts w:ascii="Arial Narrow" w:hAnsi="Arial Narrow" w:cs="Arial Narrow"/>
          <w:b/>
          <w:bCs/>
          <w:lang w:val="de-DE"/>
        </w:rPr>
        <w:tab/>
      </w:r>
      <w:r>
        <w:rPr>
          <w:rFonts w:ascii="Arial Narrow" w:hAnsi="Arial Narrow" w:cs="Arial Narrow"/>
          <w:b/>
          <w:bCs/>
          <w:lang w:val="de-DE"/>
        </w:rPr>
        <w:tab/>
      </w:r>
      <w:r>
        <w:rPr>
          <w:rFonts w:ascii="Arial Narrow" w:hAnsi="Arial Narrow" w:cs="Arial Narrow"/>
          <w:b/>
          <w:bCs/>
          <w:lang w:val="de-DE"/>
        </w:rPr>
        <w:tab/>
      </w:r>
    </w:p>
    <w:p w:rsidR="00034382" w:rsidRDefault="00EB4384" w:rsidP="00034382">
      <w:pPr>
        <w:tabs>
          <w:tab w:val="left" w:pos="5112"/>
        </w:tabs>
        <w:rPr>
          <w:rFonts w:ascii="Arial" w:hAnsi="Arial" w:cs="Arial"/>
          <w:b/>
          <w:sz w:val="20"/>
          <w:szCs w:val="20"/>
        </w:rPr>
      </w:pPr>
      <w:proofErr w:type="spellStart"/>
      <w:r w:rsidRPr="00EB4384">
        <w:rPr>
          <w:rFonts w:ascii="Arial Narrow" w:hAnsi="Arial Narrow" w:cs="Arial Narrow"/>
          <w:b/>
          <w:bCs/>
          <w:lang w:val="de-DE"/>
        </w:rPr>
        <w:t>Jedinstveni</w:t>
      </w:r>
      <w:proofErr w:type="spellEnd"/>
      <w:r w:rsidRPr="00EB4384">
        <w:rPr>
          <w:rFonts w:ascii="Arial Narrow" w:hAnsi="Arial Narrow" w:cs="Arial Narrow"/>
          <w:b/>
          <w:bCs/>
          <w:lang w:val="de-DE"/>
        </w:rPr>
        <w:t xml:space="preserve"> </w:t>
      </w:r>
      <w:proofErr w:type="spellStart"/>
      <w:r w:rsidRPr="00EB4384">
        <w:rPr>
          <w:rFonts w:ascii="Arial Narrow" w:hAnsi="Arial Narrow" w:cs="Arial Narrow"/>
          <w:b/>
          <w:bCs/>
          <w:lang w:val="de-DE"/>
        </w:rPr>
        <w:t>upravni</w:t>
      </w:r>
      <w:proofErr w:type="spellEnd"/>
      <w:r w:rsidRPr="00EB4384">
        <w:rPr>
          <w:rFonts w:ascii="Arial Narrow" w:hAnsi="Arial Narrow" w:cs="Arial Narrow"/>
          <w:b/>
          <w:bCs/>
          <w:lang w:val="de-DE"/>
        </w:rPr>
        <w:t xml:space="preserve"> </w:t>
      </w:r>
      <w:proofErr w:type="spellStart"/>
      <w:r w:rsidRPr="00EB4384">
        <w:rPr>
          <w:rFonts w:ascii="Arial Narrow" w:hAnsi="Arial Narrow" w:cs="Arial Narrow"/>
          <w:b/>
          <w:bCs/>
          <w:lang w:val="de-DE"/>
        </w:rPr>
        <w:t>odjel</w:t>
      </w:r>
      <w:proofErr w:type="spellEnd"/>
      <w:r w:rsidR="00034382">
        <w:rPr>
          <w:rFonts w:ascii="Arial Narrow" w:hAnsi="Arial Narrow" w:cs="Arial Narrow"/>
          <w:b/>
          <w:bCs/>
          <w:lang w:val="de-DE"/>
        </w:rPr>
        <w:tab/>
      </w:r>
      <w:r w:rsidR="00034382">
        <w:rPr>
          <w:rFonts w:ascii="Arial Narrow" w:hAnsi="Arial Narrow" w:cs="Arial Narrow"/>
          <w:b/>
          <w:bCs/>
          <w:lang w:val="de-DE"/>
        </w:rPr>
        <w:tab/>
      </w:r>
      <w:r w:rsidR="00034382">
        <w:rPr>
          <w:rFonts w:ascii="Arial" w:hAnsi="Arial" w:cs="Arial"/>
          <w:b/>
          <w:sz w:val="20"/>
          <w:szCs w:val="20"/>
        </w:rPr>
        <w:t>RAZINA: 22</w:t>
      </w:r>
    </w:p>
    <w:p w:rsidR="00034382" w:rsidRDefault="00034382" w:rsidP="00034382">
      <w:pPr>
        <w:tabs>
          <w:tab w:val="left" w:pos="511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OIB:14180718952</w:t>
      </w:r>
      <w:r>
        <w:rPr>
          <w:rFonts w:ascii="Arial" w:hAnsi="Arial" w:cs="Arial"/>
          <w:b/>
          <w:sz w:val="20"/>
          <w:szCs w:val="20"/>
        </w:rPr>
        <w:tab/>
      </w:r>
    </w:p>
    <w:p w:rsidR="00034382" w:rsidRDefault="00034382" w:rsidP="00034382">
      <w:pPr>
        <w:ind w:left="4956" w:firstLine="708"/>
      </w:pPr>
      <w:r>
        <w:rPr>
          <w:rFonts w:ascii="Arial" w:hAnsi="Arial" w:cs="Arial"/>
          <w:b/>
          <w:sz w:val="20"/>
          <w:szCs w:val="20"/>
        </w:rPr>
        <w:t>šifra djelatnosti: 8411</w:t>
      </w:r>
    </w:p>
    <w:p w:rsidR="00034382" w:rsidRDefault="00034382" w:rsidP="00034382">
      <w:pPr>
        <w:tabs>
          <w:tab w:val="left" w:pos="508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RKP: 26750</w:t>
      </w:r>
    </w:p>
    <w:p w:rsidR="00034382" w:rsidRDefault="00034382" w:rsidP="00034382">
      <w:pPr>
        <w:tabs>
          <w:tab w:val="left" w:pos="508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HR9624020061831300003</w:t>
      </w:r>
    </w:p>
    <w:p w:rsidR="00034382" w:rsidRDefault="00034382" w:rsidP="00034382">
      <w:pPr>
        <w:tabs>
          <w:tab w:val="left" w:pos="511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EB4384" w:rsidRPr="00EB4384" w:rsidRDefault="00EB4384" w:rsidP="00EB4384">
      <w:pPr>
        <w:rPr>
          <w:rFonts w:ascii="Arial Narrow" w:hAnsi="Arial Narrow" w:cs="Arial Narrow"/>
          <w:b/>
          <w:bCs/>
          <w:lang w:val="de-DE"/>
        </w:rPr>
      </w:pPr>
    </w:p>
    <w:p w:rsidR="00EB4384" w:rsidRDefault="00034382" w:rsidP="007032F9">
      <w:pPr>
        <w:rPr>
          <w:rFonts w:ascii="Arial" w:hAnsi="Arial" w:cs="Arial"/>
          <w:b/>
          <w:sz w:val="20"/>
          <w:szCs w:val="20"/>
        </w:rPr>
      </w:pPr>
      <w:r>
        <w:rPr>
          <w:rFonts w:ascii="Arial Narrow" w:hAnsi="Arial Narrow" w:cs="Arial"/>
          <w:b/>
        </w:rPr>
        <w:t xml:space="preserve">  </w:t>
      </w:r>
      <w:r w:rsidR="00EB4384">
        <w:rPr>
          <w:rFonts w:ascii="Arial" w:hAnsi="Arial" w:cs="Arial"/>
          <w:b/>
          <w:sz w:val="20"/>
          <w:szCs w:val="20"/>
        </w:rPr>
        <w:t xml:space="preserve"> </w:t>
      </w:r>
      <w:r w:rsidR="00621494">
        <w:rPr>
          <w:rFonts w:ascii="Arial" w:hAnsi="Arial" w:cs="Arial"/>
          <w:b/>
          <w:sz w:val="20"/>
          <w:szCs w:val="20"/>
        </w:rPr>
        <w:tab/>
      </w:r>
      <w:r w:rsidR="00EB4384">
        <w:rPr>
          <w:rFonts w:ascii="Arial" w:hAnsi="Arial" w:cs="Arial"/>
          <w:b/>
          <w:sz w:val="20"/>
          <w:szCs w:val="20"/>
        </w:rPr>
        <w:t xml:space="preserve"> </w:t>
      </w:r>
      <w:r w:rsidR="0062149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EB4384">
        <w:rPr>
          <w:rFonts w:ascii="Arial" w:hAnsi="Arial" w:cs="Arial"/>
          <w:b/>
          <w:sz w:val="20"/>
          <w:szCs w:val="20"/>
        </w:rPr>
        <w:t xml:space="preserve"> </w:t>
      </w:r>
      <w:r w:rsidR="00621494">
        <w:rPr>
          <w:rFonts w:ascii="Arial" w:hAnsi="Arial" w:cs="Arial"/>
          <w:b/>
          <w:sz w:val="20"/>
          <w:szCs w:val="20"/>
        </w:rPr>
        <w:tab/>
      </w:r>
    </w:p>
    <w:p w:rsidR="00621494" w:rsidRDefault="00621494" w:rsidP="00621494">
      <w:pPr>
        <w:tabs>
          <w:tab w:val="left" w:pos="5088"/>
        </w:tabs>
        <w:rPr>
          <w:rFonts w:ascii="Arial" w:hAnsi="Arial" w:cs="Arial"/>
          <w:b/>
          <w:sz w:val="20"/>
          <w:szCs w:val="20"/>
        </w:rPr>
      </w:pPr>
    </w:p>
    <w:p w:rsidR="00621494" w:rsidRDefault="00621494" w:rsidP="00621494">
      <w:pPr>
        <w:tabs>
          <w:tab w:val="left" w:pos="508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Na temelju članka 15. i 16. Pravilnika o financijskom izvještavanju u Proračunskom računovodstvu   izrađene su ove </w:t>
      </w:r>
    </w:p>
    <w:p w:rsidR="00621494" w:rsidRDefault="00621494" w:rsidP="00621494">
      <w:pPr>
        <w:tabs>
          <w:tab w:val="left" w:pos="5088"/>
        </w:tabs>
        <w:ind w:firstLine="600"/>
        <w:rPr>
          <w:rFonts w:ascii="Arial" w:hAnsi="Arial" w:cs="Arial"/>
          <w:sz w:val="20"/>
          <w:szCs w:val="20"/>
        </w:rPr>
      </w:pPr>
    </w:p>
    <w:p w:rsidR="00621494" w:rsidRDefault="00621494" w:rsidP="00621494">
      <w:pPr>
        <w:tabs>
          <w:tab w:val="left" w:pos="5088"/>
        </w:tabs>
        <w:ind w:firstLine="600"/>
        <w:rPr>
          <w:rFonts w:ascii="Arial" w:hAnsi="Arial" w:cs="Arial"/>
          <w:b/>
          <w:sz w:val="20"/>
          <w:szCs w:val="20"/>
        </w:rPr>
      </w:pPr>
    </w:p>
    <w:p w:rsidR="00621494" w:rsidRDefault="00621494" w:rsidP="00621494">
      <w:pPr>
        <w:tabs>
          <w:tab w:val="left" w:pos="5088"/>
        </w:tabs>
        <w:ind w:firstLine="6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BILJEŠKE UZ FINANCIJSKE IZVJEŠTAJE </w:t>
      </w:r>
    </w:p>
    <w:p w:rsidR="00621494" w:rsidRDefault="00621494" w:rsidP="00621494">
      <w:pPr>
        <w:tabs>
          <w:tab w:val="left" w:pos="5088"/>
        </w:tabs>
        <w:ind w:firstLine="6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 RAZDOBLJE OD</w:t>
      </w:r>
    </w:p>
    <w:p w:rsidR="00621494" w:rsidRDefault="00621494" w:rsidP="00621494">
      <w:pPr>
        <w:tabs>
          <w:tab w:val="left" w:pos="5088"/>
        </w:tabs>
        <w:ind w:firstLine="60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01. SIJEČNJA DO 31. PROSINCA 201</w:t>
      </w:r>
      <w:r w:rsidR="00746B3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 GODINE</w:t>
      </w:r>
    </w:p>
    <w:p w:rsidR="00621494" w:rsidRDefault="00621494" w:rsidP="00621494">
      <w:pPr>
        <w:ind w:left="360"/>
        <w:rPr>
          <w:rFonts w:ascii="Arial" w:hAnsi="Arial" w:cs="Arial"/>
          <w:b/>
          <w:sz w:val="20"/>
          <w:szCs w:val="20"/>
        </w:rPr>
      </w:pPr>
    </w:p>
    <w:p w:rsidR="00621494" w:rsidRDefault="00621494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21494" w:rsidRDefault="00621494" w:rsidP="00621494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Obrazac PR-RAS</w:t>
      </w:r>
    </w:p>
    <w:p w:rsidR="00621494" w:rsidRDefault="00621494" w:rsidP="00621494">
      <w:pPr>
        <w:rPr>
          <w:rFonts w:ascii="Arial" w:hAnsi="Arial" w:cs="Arial"/>
          <w:sz w:val="20"/>
          <w:szCs w:val="20"/>
        </w:rPr>
      </w:pPr>
      <w:r w:rsidRPr="00550EE7">
        <w:rPr>
          <w:rFonts w:ascii="Arial" w:hAnsi="Arial" w:cs="Arial"/>
          <w:b/>
          <w:sz w:val="20"/>
          <w:szCs w:val="20"/>
        </w:rPr>
        <w:t>Prihodi i primici</w:t>
      </w:r>
      <w:r>
        <w:rPr>
          <w:rFonts w:ascii="Arial" w:hAnsi="Arial" w:cs="Arial"/>
          <w:sz w:val="20"/>
          <w:szCs w:val="20"/>
        </w:rPr>
        <w:t xml:space="preserve">  u Proračunu Grada Otočca za 201</w:t>
      </w:r>
      <w:r w:rsidR="00746B3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746B36">
        <w:rPr>
          <w:rFonts w:ascii="Arial" w:hAnsi="Arial" w:cs="Arial"/>
          <w:sz w:val="20"/>
          <w:szCs w:val="20"/>
        </w:rPr>
        <w:t>godinu I. Izmjenama i dopunama proračuna</w:t>
      </w:r>
      <w:r>
        <w:rPr>
          <w:rFonts w:ascii="Arial" w:hAnsi="Arial" w:cs="Arial"/>
          <w:sz w:val="20"/>
          <w:szCs w:val="20"/>
        </w:rPr>
        <w:t xml:space="preserve"> </w:t>
      </w:r>
      <w:r w:rsidR="00746B36">
        <w:rPr>
          <w:rFonts w:ascii="Arial" w:hAnsi="Arial" w:cs="Arial"/>
          <w:sz w:val="20"/>
          <w:szCs w:val="20"/>
        </w:rPr>
        <w:t xml:space="preserve">Grada Otočca </w:t>
      </w:r>
      <w:r>
        <w:rPr>
          <w:rFonts w:ascii="Arial" w:hAnsi="Arial" w:cs="Arial"/>
          <w:sz w:val="20"/>
          <w:szCs w:val="20"/>
        </w:rPr>
        <w:t xml:space="preserve">planirani su u iznosu </w:t>
      </w:r>
      <w:r w:rsidR="00746B36">
        <w:rPr>
          <w:rFonts w:ascii="Arial" w:hAnsi="Arial" w:cs="Arial"/>
          <w:sz w:val="20"/>
          <w:szCs w:val="20"/>
        </w:rPr>
        <w:t>29.737.277,73</w:t>
      </w:r>
      <w:r>
        <w:rPr>
          <w:rFonts w:ascii="Arial" w:hAnsi="Arial" w:cs="Arial"/>
          <w:sz w:val="20"/>
          <w:szCs w:val="20"/>
        </w:rPr>
        <w:t xml:space="preserve"> kun</w:t>
      </w:r>
      <w:r w:rsidR="00746B3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a ostvareni </w:t>
      </w:r>
      <w:r w:rsidR="00746B36">
        <w:rPr>
          <w:rFonts w:ascii="Arial" w:hAnsi="Arial" w:cs="Arial"/>
          <w:sz w:val="20"/>
          <w:szCs w:val="20"/>
        </w:rPr>
        <w:t>25.907.225,66</w:t>
      </w:r>
      <w:r>
        <w:rPr>
          <w:rFonts w:ascii="Arial" w:hAnsi="Arial" w:cs="Arial"/>
          <w:sz w:val="20"/>
          <w:szCs w:val="20"/>
        </w:rPr>
        <w:t xml:space="preserve"> kuna ili </w:t>
      </w:r>
      <w:r w:rsidR="00746B36">
        <w:rPr>
          <w:rFonts w:ascii="Arial" w:hAnsi="Arial" w:cs="Arial"/>
          <w:sz w:val="20"/>
          <w:szCs w:val="20"/>
        </w:rPr>
        <w:t>87,12 %</w:t>
      </w:r>
      <w:r>
        <w:rPr>
          <w:rFonts w:ascii="Arial" w:hAnsi="Arial" w:cs="Arial"/>
          <w:sz w:val="20"/>
          <w:szCs w:val="20"/>
        </w:rPr>
        <w:t xml:space="preserve"> planiranog iznosa.</w:t>
      </w:r>
    </w:p>
    <w:p w:rsidR="00B23721" w:rsidRDefault="00271E8F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Bilješke uz pojedine AOP-e:</w:t>
      </w:r>
    </w:p>
    <w:p w:rsidR="00271E8F" w:rsidRDefault="00271E8F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AOP 002 Prihodi od poreza u 2014 godini ostvareni su u iznosu od 14.906.812 kuna a u 2015. godini 8.964.364 kune, realizacija je manja za 5.942.448 kuna.</w:t>
      </w:r>
    </w:p>
    <w:p w:rsidR="00076899" w:rsidRDefault="00271E8F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AOP 057 Tekuće pomoći proračunu iz drugih proračuna u 2014. godini  realizirane su u iznosu od </w:t>
      </w:r>
      <w:r w:rsidR="00FD471C">
        <w:rPr>
          <w:rFonts w:ascii="Arial" w:hAnsi="Arial" w:cs="Arial"/>
          <w:sz w:val="20"/>
          <w:szCs w:val="20"/>
        </w:rPr>
        <w:t>2.394.193</w:t>
      </w:r>
      <w:r>
        <w:rPr>
          <w:rFonts w:ascii="Arial" w:hAnsi="Arial" w:cs="Arial"/>
          <w:sz w:val="20"/>
          <w:szCs w:val="20"/>
        </w:rPr>
        <w:t xml:space="preserve"> kuna, dok je u 2015. godini  realizacija 7.277.455 kuna, realizacija tekućih pomoći veća je 4.883.262 kune.</w:t>
      </w:r>
    </w:p>
    <w:p w:rsidR="00271E8F" w:rsidRDefault="00076899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 dva AOP-a usporedili smo iz razloga što je došlo do promjene na ime povrata poreza na dohodak. Od 01.siječnja 2015. godine  povrati poreza na dohodak po godišnjoj prijavi obveznicima poreza s potpomognutih područja (Grad Otočac razvrstan je u II. skupinu  razvijenosti)</w:t>
      </w:r>
    </w:p>
    <w:p w:rsidR="00DB2469" w:rsidRDefault="00076899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vraćaju se na teret prihoda jedinice lokalne i područne (regionalne) samouprave u kojoj obveznici poreza ta prava ostvaruju. Tako je Gradu Otočcu na ime poreza na dobit  u 2015</w:t>
      </w:r>
      <w:r w:rsidR="00DB246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godini doznačeno 1.684.820 kuna a na ime povrata poreza na dohodak 5.473.359 kuna.</w:t>
      </w:r>
      <w:r w:rsidR="00DB2469">
        <w:rPr>
          <w:rFonts w:ascii="Arial" w:hAnsi="Arial" w:cs="Arial"/>
          <w:sz w:val="20"/>
          <w:szCs w:val="20"/>
        </w:rPr>
        <w:t xml:space="preserve"> Primjenjujući Upute Ministarstva financija tijekom 2015. godine povrati poreza na dohodak vršili su se dinamikom kojom je porezna uprava obrađivala porezne prijave. Grad Otočac je vodio računa da u svakom trenutku ima raspoloživih sredstava na računu i povrati su se obavljali nesmetano i račun Grada uvijek je bio likvidan.</w:t>
      </w:r>
    </w:p>
    <w:p w:rsidR="00DB2469" w:rsidRDefault="00DB2469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AOP 058 Kapitalne pomoći proračunu iz drugih proračuna, temeljem </w:t>
      </w:r>
      <w:r w:rsidR="006C06B9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ahtjeva Grada Otočca , Ministarstvo graditeljstva i prostornog uređenja dodijelilo je Gradu sredstva za sufinanciranje izrade II.</w:t>
      </w:r>
      <w:r w:rsidR="003006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Izmjena i dopuna Prostornog plana Grada Otočca u iznosu  98.320 kuna</w:t>
      </w:r>
      <w:r w:rsidR="00F63372">
        <w:rPr>
          <w:rFonts w:ascii="Arial" w:hAnsi="Arial" w:cs="Arial"/>
          <w:sz w:val="20"/>
          <w:szCs w:val="20"/>
        </w:rPr>
        <w:t>.</w:t>
      </w:r>
    </w:p>
    <w:p w:rsidR="00F63372" w:rsidRDefault="00F63372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AOP 061 Kapitalne pomoći od izvanproračunskih korisnika realizirane su u iznosu od 3.077.765 kuna.</w:t>
      </w:r>
    </w:p>
    <w:p w:rsidR="00F63372" w:rsidRDefault="00F63372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je ove pomoći ostvario od Fonda za zaštitu okoliša i energetsku učinkovitost i to:</w:t>
      </w:r>
    </w:p>
    <w:p w:rsidR="00F63372" w:rsidRDefault="00F63372" w:rsidP="00F63372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63372">
        <w:rPr>
          <w:rFonts w:ascii="Arial" w:hAnsi="Arial" w:cs="Arial"/>
          <w:sz w:val="20"/>
          <w:szCs w:val="20"/>
        </w:rPr>
        <w:t>50.000,00 kuna za sufinanciranje provedbe energetskog pregleda javne rasvjete na području Grada Otočca, za što su sredstva i utrošena,</w:t>
      </w:r>
    </w:p>
    <w:p w:rsidR="00F63372" w:rsidRDefault="00F63372" w:rsidP="00F63372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1.781.121 kuna temeljem Programa korištenja obnovljivih izvora energije u obiteljskim kućama</w:t>
      </w:r>
      <w:r w:rsidR="003C66E0">
        <w:rPr>
          <w:rFonts w:ascii="Arial" w:hAnsi="Arial" w:cs="Arial"/>
          <w:sz w:val="20"/>
          <w:szCs w:val="20"/>
        </w:rPr>
        <w:t xml:space="preserve"> i programa financiranja energetske obnove nestambenih zgrada,</w:t>
      </w:r>
    </w:p>
    <w:p w:rsidR="003C66E0" w:rsidRDefault="003C66E0" w:rsidP="00F63372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1.246.644 kuna za sufinanciranje nabave komunalnog vozila za prikupljanje komunalnog otpada s nadogradnjom (za provođenje postupka javne nabave komunalnog vozila Grad je ovlastio trgovačko društvo GACKA d.o.o. koja vozilo i koristi za svoju djelatnost).</w:t>
      </w:r>
    </w:p>
    <w:p w:rsidR="003C66E0" w:rsidRDefault="003C66E0" w:rsidP="003C66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AOP 071 Prihodi od imovine u 2014. godini  realizirani su 4.039.141 kunu a u 2015. godini 2.998.186 kuna. Manja realizacija vidljiva je na AOP-u 083 Naknada za korištenje nefinancijske imovine odnosno naknada za korištenje </w:t>
      </w:r>
      <w:r w:rsidR="009C601E">
        <w:rPr>
          <w:rFonts w:ascii="Arial" w:hAnsi="Arial" w:cs="Arial"/>
          <w:sz w:val="20"/>
          <w:szCs w:val="20"/>
        </w:rPr>
        <w:t>prostora elektrane čija ja realizacija vezana za proizvodnju električne energije.</w:t>
      </w:r>
    </w:p>
    <w:p w:rsidR="009C601E" w:rsidRPr="003C66E0" w:rsidRDefault="009C601E" w:rsidP="003C66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Ostali AOP-i koji se odnosne na prihode poslovanja realizirani su u postotcima + 10% ili – 10% i uglavnom se odnose na prihode koji ovise o aktivnosti stanovništva (komunalni doprinos vezan za izgradnju, doprinos za šume odnosi se na realizaciju aktivnosti sječe drvnih elemenata i sl.)</w:t>
      </w:r>
    </w:p>
    <w:p w:rsidR="00076899" w:rsidRDefault="009C601E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AOP  281 Prihod od prodaje nefinancijske imovine u 2014. godini realiziran je u iznosu od 359.110 kuna a u 2015. godini 89.436 kuna. Realizacija je manja iz razloga što u 2015. godini nije došlo </w:t>
      </w:r>
      <w:r w:rsidR="001431E4">
        <w:rPr>
          <w:rFonts w:ascii="Arial" w:hAnsi="Arial" w:cs="Arial"/>
          <w:sz w:val="20"/>
          <w:szCs w:val="20"/>
        </w:rPr>
        <w:t xml:space="preserve">do prodaje građevinskog zemljišta u Poslovnoj zoni u Otočcu i Ličkom </w:t>
      </w:r>
      <w:proofErr w:type="spellStart"/>
      <w:r w:rsidR="001431E4">
        <w:rPr>
          <w:rFonts w:ascii="Arial" w:hAnsi="Arial" w:cs="Arial"/>
          <w:sz w:val="20"/>
          <w:szCs w:val="20"/>
        </w:rPr>
        <w:t>Lešću</w:t>
      </w:r>
      <w:proofErr w:type="spellEnd"/>
      <w:r w:rsidR="001431E4">
        <w:rPr>
          <w:rFonts w:ascii="Arial" w:hAnsi="Arial" w:cs="Arial"/>
          <w:sz w:val="20"/>
          <w:szCs w:val="20"/>
        </w:rPr>
        <w:t>.</w:t>
      </w:r>
    </w:p>
    <w:p w:rsidR="00621494" w:rsidRDefault="00621494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AOP266 Stambeni objekti – Stanovi na kojima postoji stanarsko pravo  planirano je 100.000,00 kuna a ostvareno 8</w:t>
      </w:r>
      <w:r w:rsidR="001431E4">
        <w:rPr>
          <w:rFonts w:ascii="Arial" w:hAnsi="Arial" w:cs="Arial"/>
          <w:sz w:val="20"/>
          <w:szCs w:val="20"/>
        </w:rPr>
        <w:t>9.436,18</w:t>
      </w:r>
      <w:r>
        <w:rPr>
          <w:rFonts w:ascii="Arial" w:hAnsi="Arial" w:cs="Arial"/>
          <w:sz w:val="20"/>
          <w:szCs w:val="20"/>
        </w:rPr>
        <w:t xml:space="preserve">  kuna. Stvarna uplata ovih prihoda je </w:t>
      </w:r>
      <w:r w:rsidR="001431E4">
        <w:rPr>
          <w:rFonts w:ascii="Arial" w:hAnsi="Arial" w:cs="Arial"/>
          <w:sz w:val="20"/>
          <w:szCs w:val="20"/>
        </w:rPr>
        <w:t>198.747,06</w:t>
      </w:r>
      <w:r>
        <w:rPr>
          <w:rFonts w:ascii="Arial" w:hAnsi="Arial" w:cs="Arial"/>
          <w:sz w:val="20"/>
          <w:szCs w:val="20"/>
        </w:rPr>
        <w:t xml:space="preserve"> kuna, Grad je u obvezi uplatiti 55% ostvarenih sredstava Ministarstvu financija što iznosi  </w:t>
      </w:r>
      <w:r w:rsidR="001431E4">
        <w:rPr>
          <w:rFonts w:ascii="Arial" w:hAnsi="Arial" w:cs="Arial"/>
          <w:sz w:val="20"/>
          <w:szCs w:val="20"/>
        </w:rPr>
        <w:t>109.310,88</w:t>
      </w:r>
      <w:r>
        <w:rPr>
          <w:rFonts w:ascii="Arial" w:hAnsi="Arial" w:cs="Arial"/>
          <w:sz w:val="20"/>
          <w:szCs w:val="20"/>
        </w:rPr>
        <w:t xml:space="preserve"> kuna, navedeni iznos je proknjižen na konto obveze u 201</w:t>
      </w:r>
      <w:r w:rsidR="001431E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godini.</w:t>
      </w:r>
    </w:p>
    <w:p w:rsidR="00641AE7" w:rsidRDefault="00641AE7" w:rsidP="00621494">
      <w:pPr>
        <w:rPr>
          <w:rFonts w:ascii="Arial" w:hAnsi="Arial" w:cs="Arial"/>
          <w:sz w:val="20"/>
          <w:szCs w:val="20"/>
        </w:rPr>
      </w:pPr>
    </w:p>
    <w:p w:rsidR="00621494" w:rsidRDefault="00621494" w:rsidP="00621494">
      <w:pPr>
        <w:rPr>
          <w:rFonts w:ascii="Arial" w:hAnsi="Arial" w:cs="Arial"/>
          <w:sz w:val="20"/>
          <w:szCs w:val="20"/>
        </w:rPr>
      </w:pPr>
      <w:r w:rsidRPr="000F2E69">
        <w:rPr>
          <w:rFonts w:ascii="Arial" w:hAnsi="Arial" w:cs="Arial"/>
          <w:b/>
          <w:sz w:val="20"/>
          <w:szCs w:val="20"/>
        </w:rPr>
        <w:t>Rashodi i izdaci</w:t>
      </w:r>
      <w:r>
        <w:rPr>
          <w:rFonts w:ascii="Arial" w:hAnsi="Arial" w:cs="Arial"/>
          <w:sz w:val="20"/>
          <w:szCs w:val="20"/>
        </w:rPr>
        <w:t xml:space="preserve">  u Proračunu Grada Otočca za 201</w:t>
      </w:r>
      <w:r w:rsidR="00641AE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godinu planirani su u iznosu </w:t>
      </w:r>
      <w:r w:rsidR="00641AE7">
        <w:rPr>
          <w:rFonts w:ascii="Arial" w:hAnsi="Arial" w:cs="Arial"/>
          <w:sz w:val="20"/>
          <w:szCs w:val="20"/>
        </w:rPr>
        <w:t>29.737.277,73</w:t>
      </w:r>
      <w:r>
        <w:rPr>
          <w:rFonts w:ascii="Arial" w:hAnsi="Arial" w:cs="Arial"/>
          <w:sz w:val="20"/>
          <w:szCs w:val="20"/>
        </w:rPr>
        <w:t xml:space="preserve"> kun</w:t>
      </w:r>
      <w:r w:rsidR="00641AE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, a ostvareni </w:t>
      </w:r>
      <w:r w:rsidR="00641AE7">
        <w:rPr>
          <w:rFonts w:ascii="Arial" w:hAnsi="Arial" w:cs="Arial"/>
          <w:sz w:val="20"/>
          <w:szCs w:val="20"/>
        </w:rPr>
        <w:t>22.708.329,42</w:t>
      </w:r>
      <w:r>
        <w:rPr>
          <w:rFonts w:ascii="Arial" w:hAnsi="Arial" w:cs="Arial"/>
          <w:sz w:val="20"/>
          <w:szCs w:val="20"/>
        </w:rPr>
        <w:t xml:space="preserve"> kun</w:t>
      </w:r>
      <w:r w:rsidR="00641AE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ili </w:t>
      </w:r>
      <w:r w:rsidR="00641AE7">
        <w:rPr>
          <w:rFonts w:ascii="Arial" w:hAnsi="Arial" w:cs="Arial"/>
          <w:sz w:val="20"/>
          <w:szCs w:val="20"/>
        </w:rPr>
        <w:t>76,36</w:t>
      </w:r>
      <w:r>
        <w:rPr>
          <w:rFonts w:ascii="Arial" w:hAnsi="Arial" w:cs="Arial"/>
          <w:sz w:val="20"/>
          <w:szCs w:val="20"/>
        </w:rPr>
        <w:t xml:space="preserve"> % planiranog iznosa.</w:t>
      </w:r>
    </w:p>
    <w:p w:rsidR="00621494" w:rsidRDefault="00165C8A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AOP 147 Rashodi poslovanja u 2014 godini realizirani su u iznosu od 19.489.847 kuna a realizacija u 2015. godini 19.982.887 kuna. Vidljivo je ostvarenje rashoda na razini 2014. godine. </w:t>
      </w:r>
      <w:r w:rsidR="00621494">
        <w:rPr>
          <w:rFonts w:ascii="Arial" w:hAnsi="Arial" w:cs="Arial"/>
          <w:sz w:val="20"/>
          <w:szCs w:val="20"/>
        </w:rPr>
        <w:t>Zbog već poznate situacije u kojoj se našao Grad iz prijašnjih godina, nastojalo se gospod</w:t>
      </w:r>
      <w:r>
        <w:rPr>
          <w:rFonts w:ascii="Arial" w:hAnsi="Arial" w:cs="Arial"/>
          <w:sz w:val="20"/>
          <w:szCs w:val="20"/>
        </w:rPr>
        <w:t xml:space="preserve">ariti pažnjom dobrog gospodara. </w:t>
      </w:r>
    </w:p>
    <w:p w:rsidR="00165C8A" w:rsidRDefault="00165C8A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AOP 150 Plaće za redovan rad, ostvarenje u usporedbi sa 2014.godinom vidljiva je manja realizacija 1.403.673. kune, a vidljiva je i manja realizacija na materijalnim rashodima. Razlog  manjoj realizaciji u 2015. godini je u izvještavanju, rashodi proračunskih korisnika evidentirani su na AOP-u </w:t>
      </w:r>
      <w:r w:rsidR="00941E25">
        <w:rPr>
          <w:rFonts w:ascii="Arial" w:hAnsi="Arial" w:cs="Arial"/>
          <w:sz w:val="20"/>
          <w:szCs w:val="20"/>
        </w:rPr>
        <w:t>231 (konto 3671).</w:t>
      </w:r>
    </w:p>
    <w:p w:rsidR="009C0E8B" w:rsidRDefault="00941E25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1494">
        <w:rPr>
          <w:rFonts w:ascii="Arial" w:hAnsi="Arial" w:cs="Arial"/>
          <w:sz w:val="20"/>
          <w:szCs w:val="20"/>
        </w:rPr>
        <w:t xml:space="preserve">AOP </w:t>
      </w:r>
      <w:r>
        <w:rPr>
          <w:rFonts w:ascii="Arial" w:hAnsi="Arial" w:cs="Arial"/>
          <w:sz w:val="20"/>
          <w:szCs w:val="20"/>
        </w:rPr>
        <w:t xml:space="preserve">519 </w:t>
      </w:r>
      <w:r w:rsidRPr="007753A7">
        <w:rPr>
          <w:rFonts w:ascii="Arial" w:hAnsi="Arial" w:cs="Arial"/>
          <w:sz w:val="20"/>
          <w:szCs w:val="20"/>
        </w:rPr>
        <w:t>Izdaci za financijsku imovinu i otplate zajmova</w:t>
      </w:r>
      <w:r w:rsidR="00621494">
        <w:rPr>
          <w:rFonts w:ascii="Arial" w:hAnsi="Arial" w:cs="Arial"/>
          <w:b/>
          <w:sz w:val="20"/>
          <w:szCs w:val="20"/>
        </w:rPr>
        <w:t xml:space="preserve"> </w:t>
      </w:r>
      <w:r w:rsidR="00621494">
        <w:rPr>
          <w:rFonts w:ascii="Arial" w:hAnsi="Arial" w:cs="Arial"/>
          <w:sz w:val="20"/>
          <w:szCs w:val="20"/>
        </w:rPr>
        <w:t xml:space="preserve"> odnose se na otplatu dugoročnog zajma. </w:t>
      </w:r>
      <w:r>
        <w:rPr>
          <w:rFonts w:ascii="Arial" w:hAnsi="Arial" w:cs="Arial"/>
          <w:sz w:val="20"/>
          <w:szCs w:val="20"/>
        </w:rPr>
        <w:t xml:space="preserve">U 2015. godini Grad je otplatio 4 anuiteta u iznosu od 189.472 kune. Na dan 31.12.2015 godine stanje obveze za vraćanje kredita je </w:t>
      </w:r>
      <w:r w:rsidR="00621494">
        <w:rPr>
          <w:rFonts w:ascii="Arial" w:hAnsi="Arial" w:cs="Arial"/>
          <w:sz w:val="20"/>
          <w:szCs w:val="20"/>
        </w:rPr>
        <w:t xml:space="preserve"> </w:t>
      </w:r>
      <w:r w:rsidR="009C0E8B">
        <w:rPr>
          <w:rFonts w:ascii="Arial" w:hAnsi="Arial" w:cs="Arial"/>
          <w:sz w:val="20"/>
          <w:szCs w:val="20"/>
        </w:rPr>
        <w:t>236.686,45 kuna. Rok otplate kredita je 31.12.2016. godine.</w:t>
      </w:r>
    </w:p>
    <w:p w:rsidR="00621494" w:rsidRDefault="00621494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41E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941E25">
        <w:rPr>
          <w:rFonts w:ascii="Arial" w:hAnsi="Arial" w:cs="Arial"/>
          <w:sz w:val="20"/>
          <w:szCs w:val="20"/>
        </w:rPr>
        <w:t xml:space="preserve"> </w:t>
      </w:r>
    </w:p>
    <w:p w:rsidR="009C0E8B" w:rsidRDefault="00621494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AOP 6</w:t>
      </w:r>
      <w:r w:rsidR="009C0E8B">
        <w:rPr>
          <w:rFonts w:ascii="Arial" w:hAnsi="Arial" w:cs="Arial"/>
          <w:b/>
          <w:sz w:val="20"/>
          <w:szCs w:val="20"/>
        </w:rPr>
        <w:t>38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Manjak prihoda i primitaka za pokriće u slijedećem razdoblju,</w:t>
      </w:r>
      <w:r>
        <w:rPr>
          <w:rFonts w:ascii="Arial" w:hAnsi="Arial" w:cs="Arial"/>
          <w:sz w:val="20"/>
          <w:szCs w:val="20"/>
        </w:rPr>
        <w:t xml:space="preserve"> utvrđeni manjak prihoda   iz prethodnih godina iznosi  </w:t>
      </w:r>
      <w:r w:rsidR="009C0E8B">
        <w:rPr>
          <w:rFonts w:ascii="Arial" w:hAnsi="Arial" w:cs="Arial"/>
          <w:sz w:val="20"/>
          <w:szCs w:val="20"/>
        </w:rPr>
        <w:t>10.260.294</w:t>
      </w:r>
      <w:r>
        <w:rPr>
          <w:rFonts w:ascii="Arial" w:hAnsi="Arial" w:cs="Arial"/>
          <w:sz w:val="20"/>
          <w:szCs w:val="20"/>
        </w:rPr>
        <w:t xml:space="preserve"> kun</w:t>
      </w:r>
      <w:r w:rsidR="009C0E8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višak  prihoda u 201</w:t>
      </w:r>
      <w:r w:rsidR="009C0E8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godini iznosi </w:t>
      </w:r>
      <w:r w:rsidR="009C0E8B">
        <w:rPr>
          <w:rFonts w:ascii="Arial" w:hAnsi="Arial" w:cs="Arial"/>
          <w:sz w:val="20"/>
          <w:szCs w:val="20"/>
        </w:rPr>
        <w:t>3.198.897</w:t>
      </w:r>
      <w:r>
        <w:rPr>
          <w:rFonts w:ascii="Arial" w:hAnsi="Arial" w:cs="Arial"/>
          <w:sz w:val="20"/>
          <w:szCs w:val="20"/>
        </w:rPr>
        <w:t xml:space="preserve">  kuna,  tako da sveukupni  manjak prihoda za pokriće u slijedećim razdobljima   na dan 31.12.201</w:t>
      </w:r>
      <w:r w:rsidR="009C0E8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godine iznosi  </w:t>
      </w:r>
      <w:r w:rsidR="009C0E8B">
        <w:rPr>
          <w:rFonts w:ascii="Arial" w:hAnsi="Arial" w:cs="Arial"/>
          <w:sz w:val="20"/>
          <w:szCs w:val="20"/>
        </w:rPr>
        <w:t>7.061.397</w:t>
      </w:r>
      <w:r>
        <w:rPr>
          <w:rFonts w:ascii="Arial" w:hAnsi="Arial" w:cs="Arial"/>
          <w:sz w:val="20"/>
          <w:szCs w:val="20"/>
        </w:rPr>
        <w:t xml:space="preserve"> kuna.</w:t>
      </w:r>
      <w:r w:rsidR="009C0E8B">
        <w:rPr>
          <w:rFonts w:ascii="Arial" w:hAnsi="Arial" w:cs="Arial"/>
          <w:sz w:val="20"/>
          <w:szCs w:val="20"/>
        </w:rPr>
        <w:t xml:space="preserve"> Manjak prihoda za pokriće u sljedećem razdoblju odnosi se na dug:</w:t>
      </w:r>
    </w:p>
    <w:p w:rsidR="00621494" w:rsidRDefault="009C0E8B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HEP (za više </w:t>
      </w:r>
      <w:r w:rsidR="003B45D1">
        <w:rPr>
          <w:rFonts w:ascii="Arial" w:hAnsi="Arial" w:cs="Arial"/>
          <w:sz w:val="20"/>
          <w:szCs w:val="20"/>
        </w:rPr>
        <w:t>naplaćenu komunalnu naknadu), Plinacro (ostatak dugovanja za naplaćen komunalni doprinos, i ostali materijalni rashodi).</w:t>
      </w:r>
    </w:p>
    <w:p w:rsidR="00407B66" w:rsidRDefault="00407B66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AOP 640 Stanje novčanih sredstava Grada Otočca  na dan 01.01.2015. godine  iznosilo je 1.149.117 kuna, </w:t>
      </w:r>
    </w:p>
    <w:p w:rsidR="00407B66" w:rsidRDefault="00407B66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AOP 643 Stanje novčanih sredstava Grada Otočca na dan 31.12.2015 godine iznosilo je 696.300 kuna.</w:t>
      </w:r>
    </w:p>
    <w:p w:rsidR="00621494" w:rsidRDefault="00621494" w:rsidP="00621494">
      <w:pPr>
        <w:rPr>
          <w:sz w:val="20"/>
          <w:szCs w:val="20"/>
        </w:rPr>
      </w:pPr>
    </w:p>
    <w:p w:rsidR="00621494" w:rsidRDefault="00621494" w:rsidP="00621494">
      <w:pPr>
        <w:numPr>
          <w:ilvl w:val="0"/>
          <w:numId w:val="1"/>
        </w:numPr>
        <w:tabs>
          <w:tab w:val="num" w:pos="0"/>
        </w:tabs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Obrazac BILANCA</w:t>
      </w:r>
    </w:p>
    <w:p w:rsidR="004E016F" w:rsidRDefault="00621494" w:rsidP="004E01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AOP 001 Imovina</w:t>
      </w:r>
      <w:r>
        <w:rPr>
          <w:rFonts w:ascii="Arial" w:hAnsi="Arial" w:cs="Arial"/>
          <w:sz w:val="20"/>
          <w:szCs w:val="20"/>
        </w:rPr>
        <w:t xml:space="preserve">, </w:t>
      </w:r>
    </w:p>
    <w:p w:rsidR="00621494" w:rsidRDefault="004E016F" w:rsidP="004E01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AOP 009 Stambeni objekti, Grad je u 2015. godini  kupio stan za socijalni slučaj u iznosu od 350.485 kuna.</w:t>
      </w:r>
    </w:p>
    <w:p w:rsidR="004E016F" w:rsidRDefault="004E016F" w:rsidP="004E01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AOP 052 Građevinski objekti u pripremi, stanje 01.01. 2015 građevinskih objekata u pripremi je 63.868 kuna a odnosi se na Izgradnju mrtvačnice u Dabru</w:t>
      </w:r>
      <w:r w:rsidR="00F35C5F">
        <w:rPr>
          <w:rFonts w:ascii="Arial" w:hAnsi="Arial" w:cs="Arial"/>
          <w:sz w:val="20"/>
          <w:szCs w:val="20"/>
        </w:rPr>
        <w:t>. U</w:t>
      </w:r>
      <w:r>
        <w:rPr>
          <w:rFonts w:ascii="Arial" w:hAnsi="Arial" w:cs="Arial"/>
          <w:sz w:val="20"/>
          <w:szCs w:val="20"/>
        </w:rPr>
        <w:t xml:space="preserve"> tijeku 2015. godine  grad je poduzeo radnje oko izgradnje Kamp odmarališta u Otočcu</w:t>
      </w:r>
      <w:r w:rsidR="00F35C5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03EC0">
        <w:rPr>
          <w:rFonts w:ascii="Arial" w:hAnsi="Arial" w:cs="Arial"/>
          <w:sz w:val="20"/>
          <w:szCs w:val="20"/>
        </w:rPr>
        <w:t xml:space="preserve"> pripremni radovi za izgradnju Kamp odmarališta  iznosili su 61.750 kuna.</w:t>
      </w:r>
    </w:p>
    <w:p w:rsidR="00703EC0" w:rsidRDefault="00703EC0" w:rsidP="004E01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AOP 067 Stanje novaca na računu kod tuzemnih banaka na dan 01.01.2015 godine iznosilo je 1.149.117 kuna dok je 31.12.2015 godine stanje novaca bilo 696.300 kuna.</w:t>
      </w:r>
    </w:p>
    <w:p w:rsidR="00703EC0" w:rsidRDefault="00703EC0" w:rsidP="004E01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AOP 080 Ostala potraživanja na dan 31.12.2015. godine iznose 517.638 kuna. Ostala potraživanja odnose se na potraživanja koja se refundiraju:</w:t>
      </w:r>
    </w:p>
    <w:p w:rsidR="00703EC0" w:rsidRDefault="00703EC0" w:rsidP="00703EC0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Potraživanja od Porezne uprave(struju)</w:t>
      </w:r>
      <w:r>
        <w:rPr>
          <w:rFonts w:ascii="Arial" w:hAnsi="Arial" w:cs="Arial"/>
          <w:sz w:val="20"/>
          <w:szCs w:val="20"/>
        </w:rPr>
        <w:tab/>
        <w:t>7.935,88 kuna,</w:t>
      </w:r>
    </w:p>
    <w:p w:rsidR="00703EC0" w:rsidRDefault="00703EC0" w:rsidP="00703EC0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Potraživanja od Centra za socijalnu skrb Senj (struja voda i odvoz smeća) 4.495,95 kuna,</w:t>
      </w:r>
    </w:p>
    <w:p w:rsidR="00703EC0" w:rsidRDefault="00703EC0" w:rsidP="00703EC0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Potraživanja od Komunalca d.o.o. (struja) 1.493,96 kuna,</w:t>
      </w:r>
    </w:p>
    <w:p w:rsidR="00703EC0" w:rsidRDefault="00703EC0" w:rsidP="00703EC0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Potraživanja od Gacke d.o.o. (najam sl.</w:t>
      </w:r>
      <w:r w:rsidR="00EB43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automobila)</w:t>
      </w:r>
      <w:r>
        <w:rPr>
          <w:rFonts w:ascii="Arial" w:hAnsi="Arial" w:cs="Arial"/>
          <w:sz w:val="20"/>
          <w:szCs w:val="20"/>
        </w:rPr>
        <w:tab/>
        <w:t>21.813,65 kuna,</w:t>
      </w:r>
    </w:p>
    <w:p w:rsidR="00703EC0" w:rsidRDefault="00703EC0" w:rsidP="00703EC0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Potraživanj</w:t>
      </w:r>
      <w:r w:rsidR="00EB438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NK Otočca za svlačionicu (struja) 4.425,02 kuna,</w:t>
      </w:r>
    </w:p>
    <w:p w:rsidR="00703EC0" w:rsidRDefault="00703EC0" w:rsidP="00703EC0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Potraživanja od Fonda za zaštitu okoliša za </w:t>
      </w:r>
      <w:r w:rsidR="005A18DA">
        <w:rPr>
          <w:rFonts w:ascii="Arial" w:hAnsi="Arial" w:cs="Arial"/>
          <w:sz w:val="20"/>
          <w:szCs w:val="20"/>
        </w:rPr>
        <w:t>poboljšavanje toplinske ovojnice zgrade HRO d.o.o. 167.518,00 kuna,</w:t>
      </w:r>
    </w:p>
    <w:p w:rsidR="005A18DA" w:rsidRDefault="005A18DA" w:rsidP="00703EC0">
      <w:pPr>
        <w:pStyle w:val="Odlomakpopis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Potraživanja od Fonda za zaštitu okoliša za poboljšavanje toplinske ovojnice zgrade</w:t>
      </w:r>
      <w:r>
        <w:rPr>
          <w:rFonts w:ascii="Arial" w:hAnsi="Arial" w:cs="Arial"/>
          <w:sz w:val="20"/>
          <w:szCs w:val="20"/>
        </w:rPr>
        <w:t xml:space="preserve"> koju koristi K</w:t>
      </w:r>
      <w:r w:rsidR="00EB438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munalac  d.o.o. i Gacka d.o.o. 310.009,90 kuna.</w:t>
      </w:r>
    </w:p>
    <w:p w:rsidR="005A18DA" w:rsidRDefault="005A18DA" w:rsidP="005A1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AOP 161 Kont</w:t>
      </w:r>
      <w:r w:rsidR="00EB438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nuirani  rashodi budućih razdoblja odnose  se na plaće za zaposlen</w:t>
      </w:r>
      <w:r w:rsidR="00F35C5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mjesec prosinac 2015. godine</w:t>
      </w:r>
    </w:p>
    <w:p w:rsidR="00EB4384" w:rsidRPr="005A18DA" w:rsidRDefault="005A18DA" w:rsidP="005A18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AOP 246 </w:t>
      </w:r>
      <w:proofErr w:type="spellStart"/>
      <w:r>
        <w:rPr>
          <w:rFonts w:ascii="Arial" w:hAnsi="Arial" w:cs="Arial"/>
          <w:sz w:val="20"/>
          <w:szCs w:val="20"/>
        </w:rPr>
        <w:t>Izvanbilančni</w:t>
      </w:r>
      <w:proofErr w:type="spellEnd"/>
      <w:r>
        <w:rPr>
          <w:rFonts w:ascii="Arial" w:hAnsi="Arial" w:cs="Arial"/>
          <w:sz w:val="20"/>
          <w:szCs w:val="20"/>
        </w:rPr>
        <w:t xml:space="preserve"> zapisi, iznos od 4.050.704,00 kuna odnosi se na </w:t>
      </w:r>
      <w:r w:rsidR="00EB4384">
        <w:rPr>
          <w:rFonts w:ascii="Arial" w:hAnsi="Arial" w:cs="Arial"/>
          <w:sz w:val="20"/>
          <w:szCs w:val="20"/>
        </w:rPr>
        <w:t xml:space="preserve">dobivenu </w:t>
      </w:r>
      <w:proofErr w:type="spellStart"/>
      <w:r w:rsidR="00EB4384">
        <w:rPr>
          <w:rFonts w:ascii="Arial" w:hAnsi="Arial" w:cs="Arial"/>
          <w:sz w:val="20"/>
          <w:szCs w:val="20"/>
        </w:rPr>
        <w:t>neperspekltivnu</w:t>
      </w:r>
      <w:proofErr w:type="spellEnd"/>
      <w:r w:rsidR="00EB4384">
        <w:rPr>
          <w:rFonts w:ascii="Arial" w:hAnsi="Arial" w:cs="Arial"/>
          <w:sz w:val="20"/>
          <w:szCs w:val="20"/>
        </w:rPr>
        <w:t xml:space="preserve"> vojnu nekretninu 'Stari krug' u Otočcu na korištenje.</w:t>
      </w:r>
    </w:p>
    <w:p w:rsidR="00407B66" w:rsidRDefault="00407B66" w:rsidP="00621494">
      <w:pPr>
        <w:rPr>
          <w:rFonts w:ascii="Arial" w:hAnsi="Arial" w:cs="Arial"/>
          <w:sz w:val="20"/>
          <w:szCs w:val="20"/>
        </w:rPr>
      </w:pPr>
    </w:p>
    <w:p w:rsidR="00621494" w:rsidRPr="00F35C5F" w:rsidRDefault="00621494" w:rsidP="00F35C5F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35C5F">
        <w:rPr>
          <w:rFonts w:ascii="Arial" w:hAnsi="Arial" w:cs="Arial"/>
          <w:b/>
          <w:sz w:val="20"/>
          <w:szCs w:val="20"/>
        </w:rPr>
        <w:t>Pregled sudskih sporova koji su u tijeku kod Grada Otočac</w:t>
      </w:r>
    </w:p>
    <w:p w:rsidR="00621494" w:rsidRDefault="00621494" w:rsidP="00621494">
      <w:pPr>
        <w:rPr>
          <w:rFonts w:ascii="Arial" w:hAnsi="Arial" w:cs="Arial"/>
          <w:sz w:val="20"/>
          <w:szCs w:val="20"/>
        </w:rPr>
      </w:pPr>
    </w:p>
    <w:tbl>
      <w:tblPr>
        <w:tblW w:w="9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"/>
        <w:gridCol w:w="1767"/>
        <w:gridCol w:w="5379"/>
        <w:gridCol w:w="1294"/>
      </w:tblGrid>
      <w:tr w:rsidR="00621494" w:rsidTr="00D46BDB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Bilješke u svezi sudskih postupaka Grada Otočca </w:t>
            </w:r>
            <w:r w:rsidR="00022B9B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 2015.godini</w:t>
            </w:r>
          </w:p>
        </w:tc>
      </w:tr>
      <w:tr w:rsidR="00621494" w:rsidTr="00D46BDB">
        <w:trPr>
          <w:trHeight w:val="247"/>
        </w:trPr>
        <w:tc>
          <w:tcPr>
            <w:tcW w:w="945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621494" w:rsidTr="00D46BDB">
        <w:trPr>
          <w:trHeight w:val="24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Redni broj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naziv spora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opis spora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vrijednost</w:t>
            </w:r>
          </w:p>
        </w:tc>
      </w:tr>
      <w:tr w:rsidR="00621494" w:rsidTr="00D46BDB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Obrt HB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radi poništenja ugovora i predaje ključeva brave </w:t>
            </w:r>
          </w:p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ulaznih vrata Doma HV, postupak u tijeku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21494" w:rsidTr="00D46BDB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Mirjana i Željko</w:t>
            </w:r>
          </w:p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Fajdetić</w:t>
            </w:r>
            <w:proofErr w:type="spellEnd"/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radi isplate 401.653,31 kuna uplata za stan na kojem</w:t>
            </w:r>
          </w:p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postoji stanarsko pravo, Stan vraćen nositelju </w:t>
            </w:r>
          </w:p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stanarskog prava, postupak u tijeku.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401.653,31</w:t>
            </w:r>
          </w:p>
        </w:tc>
      </w:tr>
      <w:tr w:rsidR="00621494" w:rsidTr="00D46BDB">
        <w:trPr>
          <w:trHeight w:val="517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Obrt HB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više ispostavljena i plaćena situacija  za izgradnju </w:t>
            </w:r>
          </w:p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povrat više plaćenog novca.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85.253,70</w:t>
            </w:r>
          </w:p>
        </w:tc>
      </w:tr>
      <w:tr w:rsidR="00621494" w:rsidTr="00D46BDB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HEP 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Vansudska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nagodba radi povrata novca za komunalnu </w:t>
            </w:r>
          </w:p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naknadu  po Presudi upravnog suda.  </w:t>
            </w:r>
          </w:p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6.661.648,42</w:t>
            </w:r>
          </w:p>
        </w:tc>
      </w:tr>
      <w:tr w:rsidR="00621494" w:rsidTr="00D46BDB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Mijo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Atalić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-Grad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parnični predmet 'Mijo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Atalić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-Grad' radi utvrđivanja prava vlasništva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1494" w:rsidRDefault="00621494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73E47" w:rsidTr="00D46BDB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E47" w:rsidRDefault="00022B9B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E47" w:rsidRDefault="00022B9B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Dušan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Bobić</w:t>
            </w:r>
            <w:proofErr w:type="spellEnd"/>
          </w:p>
          <w:p w:rsidR="00022B9B" w:rsidRDefault="00022B9B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Otočac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E47" w:rsidRDefault="00022B9B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Naknada štete (pao s bicikla –cesta nije očišćena)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E47" w:rsidRDefault="00022B9B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121.000,00</w:t>
            </w:r>
          </w:p>
        </w:tc>
      </w:tr>
      <w:tr w:rsidR="00022B9B" w:rsidTr="00D46BDB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9B" w:rsidRDefault="00022B9B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9B" w:rsidRDefault="00022B9B" w:rsidP="00022B9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Petar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Vlaisavljević</w:t>
            </w:r>
            <w:proofErr w:type="spellEnd"/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9B" w:rsidRDefault="00022B9B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Naknade štete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9B" w:rsidRDefault="00022B9B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22B9B" w:rsidTr="00D46BDB">
        <w:trPr>
          <w:trHeight w:val="78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9B" w:rsidRDefault="00022B9B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9B" w:rsidRDefault="00022B9B" w:rsidP="00D46BD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Mirko Janković</w:t>
            </w:r>
          </w:p>
        </w:tc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9B" w:rsidRDefault="00022B9B" w:rsidP="00022B9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Utvrđivanje valjanosti usmene oporuke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pok.Dušana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Grubića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B9B" w:rsidRDefault="00022B9B" w:rsidP="00D46B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11.000,00</w:t>
            </w:r>
          </w:p>
        </w:tc>
      </w:tr>
    </w:tbl>
    <w:p w:rsidR="00621494" w:rsidRDefault="00621494" w:rsidP="00621494">
      <w:pPr>
        <w:rPr>
          <w:rFonts w:ascii="Arial" w:hAnsi="Arial" w:cs="Arial"/>
          <w:sz w:val="20"/>
          <w:szCs w:val="20"/>
        </w:rPr>
      </w:pPr>
    </w:p>
    <w:p w:rsidR="00022B9B" w:rsidRDefault="00022B9B" w:rsidP="00621494">
      <w:pPr>
        <w:rPr>
          <w:rFonts w:ascii="Arial" w:hAnsi="Arial" w:cs="Arial"/>
          <w:sz w:val="20"/>
          <w:szCs w:val="20"/>
        </w:rPr>
      </w:pPr>
    </w:p>
    <w:p w:rsidR="00022B9B" w:rsidRDefault="00022B9B" w:rsidP="00621494">
      <w:pPr>
        <w:rPr>
          <w:rFonts w:ascii="Arial" w:hAnsi="Arial" w:cs="Arial"/>
          <w:sz w:val="20"/>
          <w:szCs w:val="20"/>
        </w:rPr>
      </w:pPr>
    </w:p>
    <w:p w:rsidR="00022B9B" w:rsidRDefault="00022B9B" w:rsidP="00621494">
      <w:pPr>
        <w:rPr>
          <w:rFonts w:ascii="Arial" w:hAnsi="Arial" w:cs="Arial"/>
          <w:sz w:val="20"/>
          <w:szCs w:val="20"/>
        </w:rPr>
      </w:pPr>
    </w:p>
    <w:p w:rsidR="00022B9B" w:rsidRDefault="00022B9B" w:rsidP="00621494">
      <w:pPr>
        <w:rPr>
          <w:rFonts w:ascii="Arial" w:hAnsi="Arial" w:cs="Arial"/>
          <w:sz w:val="20"/>
          <w:szCs w:val="20"/>
        </w:rPr>
      </w:pPr>
    </w:p>
    <w:p w:rsidR="00621494" w:rsidRDefault="00621494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Otočcu,</w:t>
      </w:r>
      <w:r w:rsidR="00022B9B">
        <w:rPr>
          <w:rFonts w:ascii="Arial" w:hAnsi="Arial" w:cs="Arial"/>
          <w:sz w:val="20"/>
          <w:szCs w:val="20"/>
        </w:rPr>
        <w:t>15.02.2015.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22B9B">
        <w:rPr>
          <w:rFonts w:ascii="Arial" w:hAnsi="Arial" w:cs="Arial"/>
          <w:sz w:val="20"/>
          <w:szCs w:val="20"/>
        </w:rPr>
        <w:tab/>
      </w:r>
      <w:r w:rsidR="00022B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Gradonačelnik</w:t>
      </w:r>
    </w:p>
    <w:p w:rsidR="00621494" w:rsidRDefault="00621494" w:rsidP="00621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21494" w:rsidRPr="00B60874" w:rsidRDefault="00621494" w:rsidP="00621494">
      <w:pPr>
        <w:tabs>
          <w:tab w:val="left" w:pos="50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22B9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</w:r>
      <w:r w:rsidR="00022B9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Stjepan </w:t>
      </w:r>
      <w:proofErr w:type="spellStart"/>
      <w:r>
        <w:rPr>
          <w:rFonts w:ascii="Arial" w:hAnsi="Arial" w:cs="Arial"/>
          <w:sz w:val="20"/>
          <w:szCs w:val="20"/>
        </w:rPr>
        <w:t>Kostelac</w:t>
      </w:r>
      <w:proofErr w:type="spellEnd"/>
      <w:r>
        <w:rPr>
          <w:rFonts w:ascii="Arial" w:hAnsi="Arial" w:cs="Arial"/>
          <w:sz w:val="20"/>
          <w:szCs w:val="20"/>
        </w:rPr>
        <w:t>, dr.vet.med.</w:t>
      </w:r>
    </w:p>
    <w:sectPr w:rsidR="00621494" w:rsidRPr="00B60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7AC0"/>
    <w:multiLevelType w:val="hybridMultilevel"/>
    <w:tmpl w:val="F44A66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94"/>
    <w:rsid w:val="0000620C"/>
    <w:rsid w:val="00022B9B"/>
    <w:rsid w:val="00034382"/>
    <w:rsid w:val="00076899"/>
    <w:rsid w:val="001431E4"/>
    <w:rsid w:val="00165C8A"/>
    <w:rsid w:val="001F175B"/>
    <w:rsid w:val="00271E8F"/>
    <w:rsid w:val="003006A2"/>
    <w:rsid w:val="003B45D1"/>
    <w:rsid w:val="003C66E0"/>
    <w:rsid w:val="00407B66"/>
    <w:rsid w:val="004E016F"/>
    <w:rsid w:val="005A18DA"/>
    <w:rsid w:val="00621494"/>
    <w:rsid w:val="00641AE7"/>
    <w:rsid w:val="006C06B9"/>
    <w:rsid w:val="007032F9"/>
    <w:rsid w:val="00703EC0"/>
    <w:rsid w:val="00746B36"/>
    <w:rsid w:val="007D4298"/>
    <w:rsid w:val="00941E25"/>
    <w:rsid w:val="009C0E8B"/>
    <w:rsid w:val="009C601E"/>
    <w:rsid w:val="00B23721"/>
    <w:rsid w:val="00DB2469"/>
    <w:rsid w:val="00E66760"/>
    <w:rsid w:val="00E73E47"/>
    <w:rsid w:val="00EB4384"/>
    <w:rsid w:val="00F35C5F"/>
    <w:rsid w:val="00F63372"/>
    <w:rsid w:val="00FD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33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43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384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337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43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38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Mandica Lončar</cp:lastModifiedBy>
  <cp:revision>17</cp:revision>
  <cp:lastPrinted>2016-02-12T10:39:00Z</cp:lastPrinted>
  <dcterms:created xsi:type="dcterms:W3CDTF">2016-02-11T08:01:00Z</dcterms:created>
  <dcterms:modified xsi:type="dcterms:W3CDTF">2016-02-12T11:24:00Z</dcterms:modified>
</cp:coreProperties>
</file>